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744" w:rsidRDefault="00F66687" w:rsidP="002A77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November 11</w:t>
      </w:r>
      <w:r w:rsidR="002A7744">
        <w:rPr>
          <w:sz w:val="24"/>
          <w:szCs w:val="24"/>
        </w:rPr>
        <w:t>, 2024</w:t>
      </w:r>
    </w:p>
    <w:p w:rsidR="002A7744" w:rsidRDefault="002A7744" w:rsidP="002A7744">
      <w:pPr>
        <w:spacing w:after="0" w:line="240" w:lineRule="auto"/>
        <w:rPr>
          <w:sz w:val="24"/>
          <w:szCs w:val="24"/>
        </w:rPr>
      </w:pPr>
    </w:p>
    <w:p w:rsidR="002A7744" w:rsidRPr="002A7744" w:rsidRDefault="002A7744" w:rsidP="002A7744">
      <w:pPr>
        <w:spacing w:after="0" w:line="240" w:lineRule="auto"/>
        <w:rPr>
          <w:b/>
          <w:bCs/>
          <w:sz w:val="24"/>
          <w:szCs w:val="24"/>
        </w:rPr>
      </w:pPr>
      <w:r w:rsidRPr="002A7744">
        <w:rPr>
          <w:b/>
          <w:bCs/>
          <w:sz w:val="24"/>
          <w:szCs w:val="24"/>
        </w:rPr>
        <w:t>The Management</w:t>
      </w:r>
    </w:p>
    <w:p w:rsidR="002A7744" w:rsidRDefault="002A7744" w:rsidP="002A77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Arenco Real Estate Co LLC</w:t>
      </w:r>
    </w:p>
    <w:p w:rsidR="002A7744" w:rsidRPr="002A7744" w:rsidRDefault="002A7744" w:rsidP="002A77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Dubai, UAE</w:t>
      </w:r>
    </w:p>
    <w:p w:rsidR="002A7744" w:rsidRDefault="002A7744" w:rsidP="002A7744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2A7744" w:rsidRDefault="002A7744" w:rsidP="002A7744">
      <w:pPr>
        <w:pBdr>
          <w:bottom w:val="single" w:sz="12" w:space="1" w:color="auto"/>
        </w:pBdr>
        <w:spacing w:after="0" w:line="240" w:lineRule="auto"/>
        <w:rPr>
          <w:b/>
          <w:bCs/>
          <w:sz w:val="24"/>
          <w:szCs w:val="24"/>
        </w:rPr>
      </w:pPr>
      <w:r w:rsidRPr="002A7744">
        <w:rPr>
          <w:b/>
          <w:bCs/>
          <w:sz w:val="24"/>
          <w:szCs w:val="24"/>
        </w:rPr>
        <w:t>Unde</w:t>
      </w:r>
      <w:r>
        <w:rPr>
          <w:b/>
          <w:bCs/>
          <w:sz w:val="24"/>
          <w:szCs w:val="24"/>
        </w:rPr>
        <w:t>rtaking Le</w:t>
      </w:r>
      <w:r w:rsidRPr="002A7744">
        <w:rPr>
          <w:b/>
          <w:bCs/>
          <w:sz w:val="24"/>
          <w:szCs w:val="24"/>
        </w:rPr>
        <w:t>tter</w:t>
      </w:r>
    </w:p>
    <w:p w:rsidR="002A7744" w:rsidRPr="002A7744" w:rsidRDefault="002A7744" w:rsidP="002A7744">
      <w:pPr>
        <w:spacing w:after="0" w:line="240" w:lineRule="auto"/>
        <w:rPr>
          <w:b/>
          <w:bCs/>
          <w:sz w:val="24"/>
          <w:szCs w:val="24"/>
        </w:rPr>
      </w:pPr>
    </w:p>
    <w:p w:rsidR="00400E07" w:rsidRPr="00D071E0" w:rsidRDefault="00D071E0" w:rsidP="002A7744">
      <w:pPr>
        <w:spacing w:after="0" w:line="240" w:lineRule="auto"/>
        <w:rPr>
          <w:sz w:val="24"/>
          <w:szCs w:val="24"/>
        </w:rPr>
      </w:pPr>
      <w:r w:rsidRPr="00D071E0">
        <w:rPr>
          <w:b/>
          <w:bCs/>
          <w:sz w:val="24"/>
          <w:szCs w:val="24"/>
          <w:u w:val="single"/>
        </w:rPr>
        <w:t>ABC Broker</w:t>
      </w:r>
      <w:r w:rsidRPr="00D071E0">
        <w:rPr>
          <w:sz w:val="24"/>
          <w:szCs w:val="24"/>
        </w:rPr>
        <w:t xml:space="preserve"> hereby give undertaking to fulfill the following obligations, terms and conditions to promote, advertise, and/or market Arenco Real Estate properties mentioned in Non-objection letter provided.</w:t>
      </w:r>
    </w:p>
    <w:p w:rsidR="00D071E0" w:rsidRDefault="00D071E0" w:rsidP="002A774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Brokers are not allowed to advertise in Property Finder.</w:t>
      </w:r>
    </w:p>
    <w:p w:rsidR="00D071E0" w:rsidRDefault="00D071E0" w:rsidP="002A774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Brokers are not allowed to post and/or advertise </w:t>
      </w:r>
      <w:r w:rsidRPr="00D071E0">
        <w:rPr>
          <w:rFonts w:eastAsia="Times New Roman"/>
          <w:b/>
          <w:bCs/>
          <w:color w:val="000000"/>
          <w:sz w:val="24"/>
          <w:szCs w:val="24"/>
        </w:rPr>
        <w:t>incorrect</w:t>
      </w:r>
      <w:r>
        <w:rPr>
          <w:rFonts w:eastAsia="Times New Roman"/>
          <w:color w:val="000000"/>
          <w:sz w:val="24"/>
          <w:szCs w:val="24"/>
        </w:rPr>
        <w:t xml:space="preserve"> information, photos, and/or details of Arenco Real Estate properties in any online platforms or any other </w:t>
      </w:r>
      <w:r w:rsidRPr="00371E67">
        <w:rPr>
          <w:rFonts w:eastAsia="Times New Roman"/>
          <w:sz w:val="24"/>
          <w:szCs w:val="24"/>
        </w:rPr>
        <w:t xml:space="preserve">property </w:t>
      </w:r>
      <w:r w:rsidR="00371E67" w:rsidRPr="00371E67">
        <w:rPr>
          <w:rFonts w:eastAsia="Times New Roman"/>
          <w:sz w:val="24"/>
          <w:szCs w:val="24"/>
        </w:rPr>
        <w:t>web</w:t>
      </w:r>
      <w:r w:rsidRPr="00371E67">
        <w:rPr>
          <w:rFonts w:eastAsia="Times New Roman"/>
          <w:sz w:val="24"/>
          <w:szCs w:val="24"/>
        </w:rPr>
        <w:t>sites</w:t>
      </w:r>
      <w:r w:rsidR="00371E67" w:rsidRPr="00371E67">
        <w:rPr>
          <w:rFonts w:eastAsia="Times New Roman"/>
          <w:sz w:val="24"/>
          <w:szCs w:val="24"/>
        </w:rPr>
        <w:t>/platforms</w:t>
      </w:r>
      <w:r>
        <w:rPr>
          <w:rFonts w:eastAsia="Times New Roman"/>
          <w:color w:val="000000"/>
          <w:sz w:val="24"/>
          <w:szCs w:val="24"/>
        </w:rPr>
        <w:t>.</w:t>
      </w:r>
    </w:p>
    <w:p w:rsidR="00D071E0" w:rsidRDefault="00D071E0" w:rsidP="002A774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Brokers must coordinate with the Arenco Real Estate agent on a daily basis for the updated list of available units and must immediately take down any post or ad for property(ies) which is/are no longer available for leasing.</w:t>
      </w:r>
    </w:p>
    <w:p w:rsidR="009E737C" w:rsidRDefault="009E737C" w:rsidP="00FD5B9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Brokers will be liable to Arenco Real Estate for any wrong or misleading posts or ads in any online platforms.</w:t>
      </w:r>
      <w:r w:rsidR="00FD5B9C">
        <w:rPr>
          <w:rFonts w:eastAsia="Times New Roman"/>
          <w:color w:val="000000"/>
          <w:sz w:val="24"/>
          <w:szCs w:val="24"/>
        </w:rPr>
        <w:t xml:space="preserve"> It is the broker’s responsibility to post correct information,</w:t>
      </w:r>
      <w:r w:rsidR="00C64801">
        <w:rPr>
          <w:rFonts w:eastAsia="Times New Roman"/>
          <w:color w:val="000000"/>
          <w:sz w:val="24"/>
          <w:szCs w:val="24"/>
        </w:rPr>
        <w:t xml:space="preserve"> photos,</w:t>
      </w:r>
      <w:r w:rsidR="00FD5B9C">
        <w:rPr>
          <w:rFonts w:eastAsia="Times New Roman"/>
          <w:color w:val="000000"/>
          <w:sz w:val="24"/>
          <w:szCs w:val="24"/>
        </w:rPr>
        <w:t xml:space="preserve"> availability, and pricing</w:t>
      </w:r>
      <w:r w:rsidR="00C64801">
        <w:rPr>
          <w:rFonts w:eastAsia="Times New Roman"/>
          <w:color w:val="000000"/>
          <w:sz w:val="24"/>
          <w:szCs w:val="24"/>
        </w:rPr>
        <w:t xml:space="preserve"> pertaining to the exact same unit</w:t>
      </w:r>
      <w:r w:rsidR="00FD5B9C">
        <w:rPr>
          <w:rFonts w:eastAsia="Times New Roman"/>
          <w:color w:val="000000"/>
          <w:sz w:val="24"/>
          <w:szCs w:val="24"/>
        </w:rPr>
        <w:t xml:space="preserve">.  </w:t>
      </w:r>
      <w:r w:rsidR="00C64801">
        <w:rPr>
          <w:rFonts w:eastAsia="Times New Roman"/>
          <w:color w:val="000000"/>
          <w:sz w:val="24"/>
          <w:szCs w:val="24"/>
        </w:rPr>
        <w:t xml:space="preserve">Brokers are obliged to take down any images/information that Arenco Real Estate flags as incorrect or inappropriate within 24 hours from written notice. </w:t>
      </w:r>
      <w:r w:rsidR="00FD5B9C">
        <w:rPr>
          <w:rFonts w:eastAsia="Times New Roman"/>
          <w:color w:val="000000"/>
          <w:sz w:val="24"/>
          <w:szCs w:val="24"/>
        </w:rPr>
        <w:t>Any penalties incurred due to broker’s misrepresentation will be the responsibility of the broker.</w:t>
      </w:r>
    </w:p>
    <w:p w:rsidR="00D071E0" w:rsidRPr="00D071E0" w:rsidRDefault="00D071E0" w:rsidP="002A774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D071E0">
        <w:rPr>
          <w:rFonts w:eastAsia="Times New Roman"/>
          <w:color w:val="000000"/>
          <w:sz w:val="24"/>
          <w:szCs w:val="24"/>
        </w:rPr>
        <w:t>In order to be eligible for Commission, the Brokers must:</w:t>
      </w:r>
    </w:p>
    <w:p w:rsidR="00D071E0" w:rsidRPr="00D071E0" w:rsidRDefault="00D071E0" w:rsidP="002A7744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D071E0">
        <w:rPr>
          <w:rFonts w:eastAsia="Times New Roman"/>
          <w:color w:val="000000"/>
          <w:sz w:val="24"/>
          <w:szCs w:val="24"/>
        </w:rPr>
        <w:t>Accompany the client for property viewing and must fill the client details form at the time of the first viewing;</w:t>
      </w:r>
    </w:p>
    <w:p w:rsidR="00D071E0" w:rsidRPr="00D071E0" w:rsidRDefault="00D071E0" w:rsidP="002A7744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D071E0">
        <w:rPr>
          <w:rFonts w:eastAsia="Times New Roman"/>
          <w:color w:val="000000"/>
          <w:sz w:val="24"/>
          <w:szCs w:val="24"/>
        </w:rPr>
        <w:t>Follow up with client;</w:t>
      </w:r>
    </w:p>
    <w:p w:rsidR="00D071E0" w:rsidRPr="00D071E0" w:rsidRDefault="00D071E0" w:rsidP="002A7744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D071E0">
        <w:rPr>
          <w:rFonts w:eastAsia="Times New Roman"/>
          <w:color w:val="000000"/>
          <w:sz w:val="24"/>
          <w:szCs w:val="24"/>
        </w:rPr>
        <w:t>Negotiate, convince, and finalize the deal;</w:t>
      </w:r>
    </w:p>
    <w:p w:rsidR="00D071E0" w:rsidRDefault="00D071E0" w:rsidP="002A7744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D071E0">
        <w:rPr>
          <w:rFonts w:eastAsia="Times New Roman"/>
          <w:color w:val="000000"/>
          <w:sz w:val="24"/>
          <w:szCs w:val="24"/>
        </w:rPr>
        <w:t>Coordinate with Arenco Real Estate Agent for the administrative part of the deal.</w:t>
      </w:r>
    </w:p>
    <w:p w:rsidR="0076391A" w:rsidRDefault="0076391A" w:rsidP="002A7744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Booking Fee/Deposit to be paid in advance upon booking confirmation.</w:t>
      </w:r>
    </w:p>
    <w:p w:rsidR="0076391A" w:rsidRPr="00D071E0" w:rsidRDefault="0076391A" w:rsidP="002A7744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Rental Cheques must be paid within 12 days from the booking date, otherwise booking fee/deposit will be forfeited.</w:t>
      </w:r>
    </w:p>
    <w:p w:rsidR="00D071E0" w:rsidRPr="0076391A" w:rsidRDefault="00D071E0" w:rsidP="0076391A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D071E0">
        <w:rPr>
          <w:rFonts w:eastAsia="Times New Roman"/>
          <w:sz w:val="24"/>
          <w:szCs w:val="24"/>
        </w:rPr>
        <w:t xml:space="preserve">Brokers </w:t>
      </w:r>
      <w:r w:rsidRPr="00D071E0">
        <w:rPr>
          <w:rFonts w:eastAsia="Times New Roman"/>
          <w:b/>
          <w:bCs/>
          <w:sz w:val="24"/>
          <w:szCs w:val="24"/>
        </w:rPr>
        <w:t>must not stand</w:t>
      </w:r>
      <w:r w:rsidRPr="00D071E0">
        <w:rPr>
          <w:rFonts w:eastAsia="Times New Roman"/>
          <w:sz w:val="24"/>
          <w:szCs w:val="24"/>
        </w:rPr>
        <w:t xml:space="preserve"> in front of the </w:t>
      </w:r>
      <w:r w:rsidRPr="00D071E0">
        <w:rPr>
          <w:rFonts w:eastAsia="Times New Roman"/>
          <w:color w:val="000000"/>
          <w:sz w:val="24"/>
          <w:szCs w:val="24"/>
        </w:rPr>
        <w:t>buildings and approach walk-in clients. </w:t>
      </w:r>
    </w:p>
    <w:p w:rsidR="00C64801" w:rsidRDefault="00D071E0" w:rsidP="00954618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C64801">
        <w:rPr>
          <w:rFonts w:eastAsia="Times New Roman"/>
          <w:sz w:val="24"/>
          <w:szCs w:val="24"/>
        </w:rPr>
        <w:t xml:space="preserve">Brokers </w:t>
      </w:r>
      <w:r w:rsidRPr="00C64801">
        <w:rPr>
          <w:rFonts w:eastAsia="Times New Roman"/>
          <w:b/>
          <w:bCs/>
          <w:sz w:val="24"/>
          <w:szCs w:val="24"/>
        </w:rPr>
        <w:t>must not mislead</w:t>
      </w:r>
      <w:r w:rsidRPr="00C64801">
        <w:rPr>
          <w:rFonts w:eastAsia="Times New Roman"/>
          <w:sz w:val="24"/>
          <w:szCs w:val="24"/>
        </w:rPr>
        <w:t xml:space="preserve"> clients</w:t>
      </w:r>
      <w:r w:rsidRPr="00C64801">
        <w:rPr>
          <w:rFonts w:eastAsia="Times New Roman"/>
          <w:color w:val="000000"/>
          <w:sz w:val="24"/>
          <w:szCs w:val="24"/>
        </w:rPr>
        <w:t xml:space="preserve"> by providing wrong information, rent, and displaying wrong photographs.</w:t>
      </w:r>
      <w:r w:rsidR="00FD5B9C" w:rsidRPr="00C64801">
        <w:rPr>
          <w:rFonts w:eastAsia="Times New Roman"/>
          <w:color w:val="000000"/>
          <w:sz w:val="24"/>
          <w:szCs w:val="24"/>
        </w:rPr>
        <w:t xml:space="preserve"> </w:t>
      </w:r>
    </w:p>
    <w:p w:rsidR="00D071E0" w:rsidRPr="00C64801" w:rsidRDefault="00D071E0" w:rsidP="00954618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C64801">
        <w:rPr>
          <w:rFonts w:eastAsia="Times New Roman"/>
          <w:color w:val="000000"/>
          <w:sz w:val="24"/>
          <w:szCs w:val="24"/>
        </w:rPr>
        <w:t>Brokers must not offer Arenco Real Estate properties to existing tenants or clients already dealing directly with Arenco Real Estate and Golden Sands short term apartments.</w:t>
      </w:r>
    </w:p>
    <w:p w:rsidR="00D071E0" w:rsidRPr="00D071E0" w:rsidRDefault="00D071E0" w:rsidP="002A774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D071E0">
        <w:rPr>
          <w:rFonts w:eastAsia="Times New Roman"/>
          <w:color w:val="000000"/>
          <w:sz w:val="24"/>
          <w:szCs w:val="24"/>
        </w:rPr>
        <w:t>Arenco Real Estate reserves the right to revise its Commission Plan without notice.</w:t>
      </w:r>
    </w:p>
    <w:p w:rsidR="00D071E0" w:rsidRPr="00D071E0" w:rsidRDefault="00D071E0" w:rsidP="002A774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D071E0">
        <w:rPr>
          <w:rFonts w:eastAsia="Times New Roman"/>
          <w:color w:val="000000"/>
          <w:sz w:val="24"/>
          <w:szCs w:val="24"/>
        </w:rPr>
        <w:t xml:space="preserve">Brokers must submit a consolidated invoice for all bookings </w:t>
      </w:r>
      <w:r w:rsidRPr="00D071E0">
        <w:rPr>
          <w:rFonts w:eastAsia="Times New Roman"/>
          <w:b/>
          <w:bCs/>
          <w:color w:val="000000"/>
          <w:sz w:val="24"/>
          <w:szCs w:val="24"/>
        </w:rPr>
        <w:t>once in a month</w:t>
      </w:r>
      <w:r w:rsidRPr="00D071E0">
        <w:rPr>
          <w:rFonts w:eastAsia="Times New Roman"/>
          <w:color w:val="000000"/>
          <w:sz w:val="24"/>
          <w:szCs w:val="24"/>
        </w:rPr>
        <w:t>. Any invoices submitted after 3 months from the lease start date will not be approved and will not be processed for payments.  </w:t>
      </w:r>
    </w:p>
    <w:p w:rsidR="00D071E0" w:rsidRPr="00D071E0" w:rsidRDefault="00D071E0" w:rsidP="002A774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D071E0">
        <w:rPr>
          <w:rFonts w:eastAsia="Times New Roman"/>
          <w:color w:val="000000"/>
          <w:sz w:val="24"/>
          <w:szCs w:val="24"/>
        </w:rPr>
        <w:t>Brokers must close the deal within maximum of 10 days from the first viewing, with regular updates and follow up.  </w:t>
      </w:r>
    </w:p>
    <w:p w:rsidR="00D071E0" w:rsidRPr="00D071E0" w:rsidRDefault="00D071E0" w:rsidP="002A774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D071E0">
        <w:rPr>
          <w:rFonts w:eastAsia="Times New Roman"/>
          <w:color w:val="000000"/>
          <w:sz w:val="24"/>
          <w:szCs w:val="24"/>
        </w:rPr>
        <w:lastRenderedPageBreak/>
        <w:t>Brokers must contact its assigned Arenco Real Estate Agent for all their inquiries.</w:t>
      </w:r>
    </w:p>
    <w:p w:rsidR="00D071E0" w:rsidRPr="00D071E0" w:rsidRDefault="00D071E0" w:rsidP="002A774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D071E0">
        <w:rPr>
          <w:rFonts w:eastAsia="Times New Roman"/>
          <w:color w:val="000000"/>
          <w:sz w:val="24"/>
          <w:szCs w:val="24"/>
        </w:rPr>
        <w:t xml:space="preserve">Brokers must check with both client and Arenco Real Estate Representative if viewing was already conducted and if the tenant is already in touch with other agent. </w:t>
      </w:r>
    </w:p>
    <w:p w:rsidR="00D071E0" w:rsidRPr="00D071E0" w:rsidRDefault="00D071E0" w:rsidP="00F66687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D071E0">
        <w:rPr>
          <w:rFonts w:eastAsia="Times New Roman"/>
          <w:color w:val="000000"/>
          <w:sz w:val="24"/>
          <w:szCs w:val="24"/>
        </w:rPr>
        <w:t>Viewings are only allowed between 9:00</w:t>
      </w:r>
      <w:r>
        <w:rPr>
          <w:rFonts w:eastAsia="Times New Roman"/>
          <w:color w:val="000000"/>
          <w:sz w:val="24"/>
          <w:szCs w:val="24"/>
        </w:rPr>
        <w:t>AM</w:t>
      </w:r>
      <w:r w:rsidRPr="00D071E0">
        <w:rPr>
          <w:rFonts w:eastAsia="Times New Roman"/>
          <w:color w:val="000000"/>
          <w:sz w:val="24"/>
          <w:szCs w:val="24"/>
        </w:rPr>
        <w:t xml:space="preserve"> to </w:t>
      </w:r>
      <w:r w:rsidR="00F66687">
        <w:rPr>
          <w:rFonts w:eastAsia="Times New Roman"/>
          <w:color w:val="000000"/>
          <w:sz w:val="24"/>
          <w:szCs w:val="24"/>
        </w:rPr>
        <w:t>9</w:t>
      </w:r>
      <w:bookmarkStart w:id="0" w:name="_GoBack"/>
      <w:bookmarkEnd w:id="0"/>
      <w:r w:rsidRPr="00D071E0">
        <w:rPr>
          <w:rFonts w:eastAsia="Times New Roman"/>
          <w:color w:val="000000"/>
          <w:sz w:val="24"/>
          <w:szCs w:val="24"/>
        </w:rPr>
        <w:t>:00</w:t>
      </w:r>
      <w:r>
        <w:rPr>
          <w:rFonts w:eastAsia="Times New Roman"/>
          <w:color w:val="000000"/>
          <w:sz w:val="24"/>
          <w:szCs w:val="24"/>
        </w:rPr>
        <w:t>PM</w:t>
      </w:r>
      <w:r w:rsidRPr="00D071E0">
        <w:rPr>
          <w:rFonts w:eastAsia="Times New Roman"/>
          <w:color w:val="000000"/>
          <w:sz w:val="24"/>
          <w:szCs w:val="24"/>
        </w:rPr>
        <w:t xml:space="preserve">. </w:t>
      </w:r>
    </w:p>
    <w:p w:rsidR="00D071E0" w:rsidRPr="00D071E0" w:rsidRDefault="00D071E0" w:rsidP="002A774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D071E0">
        <w:rPr>
          <w:rFonts w:eastAsia="Times New Roman"/>
          <w:color w:val="000000"/>
          <w:sz w:val="24"/>
          <w:szCs w:val="24"/>
        </w:rPr>
        <w:t xml:space="preserve">Arenco Real Estate reserves the right to withdraw </w:t>
      </w:r>
      <w:r>
        <w:rPr>
          <w:rFonts w:eastAsia="Times New Roman"/>
          <w:color w:val="000000"/>
          <w:sz w:val="24"/>
          <w:szCs w:val="24"/>
        </w:rPr>
        <w:t>the</w:t>
      </w:r>
      <w:r w:rsidRPr="00D071E0">
        <w:rPr>
          <w:rFonts w:eastAsia="Times New Roman"/>
          <w:color w:val="000000"/>
          <w:sz w:val="24"/>
          <w:szCs w:val="24"/>
        </w:rPr>
        <w:t xml:space="preserve"> NOC at any time even without notice.</w:t>
      </w:r>
    </w:p>
    <w:p w:rsidR="00D071E0" w:rsidRPr="00D071E0" w:rsidRDefault="00D071E0" w:rsidP="002A774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D071E0">
        <w:rPr>
          <w:rFonts w:eastAsia="Times New Roman"/>
          <w:color w:val="000000"/>
          <w:sz w:val="24"/>
          <w:szCs w:val="24"/>
        </w:rPr>
        <w:t xml:space="preserve">NOC renewal will be subject to broker’s performance. </w:t>
      </w:r>
    </w:p>
    <w:p w:rsidR="00D071E0" w:rsidRDefault="00D071E0" w:rsidP="002A7744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</w:rPr>
      </w:pPr>
    </w:p>
    <w:p w:rsidR="00D071E0" w:rsidRPr="00D071E0" w:rsidRDefault="00D071E0" w:rsidP="002A7744">
      <w:pPr>
        <w:pStyle w:val="c0"/>
        <w:spacing w:before="0" w:beforeAutospacing="0" w:after="0" w:afterAutospacing="0"/>
        <w:jc w:val="lowKashida"/>
        <w:rPr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>This</w:t>
      </w:r>
      <w:r w:rsidRPr="00D071E0">
        <w:rPr>
          <w:rStyle w:val="c1"/>
          <w:rFonts w:asciiTheme="minorHAnsi" w:hAnsiTheme="minorHAnsi" w:cstheme="minorHAnsi"/>
          <w:color w:val="000000"/>
        </w:rPr>
        <w:t xml:space="preserve"> undertaking is a binding agreement and </w:t>
      </w:r>
      <w:r w:rsidRPr="00D071E0">
        <w:rPr>
          <w:rStyle w:val="c1"/>
          <w:rFonts w:asciiTheme="minorHAnsi" w:hAnsiTheme="minorHAnsi" w:cstheme="minorHAnsi"/>
          <w:b/>
          <w:bCs/>
          <w:color w:val="000000"/>
          <w:u w:val="single"/>
        </w:rPr>
        <w:t>ABC Broker</w:t>
      </w:r>
      <w:r>
        <w:rPr>
          <w:rStyle w:val="c1"/>
          <w:rFonts w:asciiTheme="minorHAnsi" w:hAnsiTheme="minorHAnsi" w:cstheme="minorHAnsi"/>
          <w:color w:val="000000"/>
        </w:rPr>
        <w:t xml:space="preserve"> is </w:t>
      </w:r>
      <w:r w:rsidRPr="00D071E0">
        <w:rPr>
          <w:rStyle w:val="c1"/>
          <w:rFonts w:asciiTheme="minorHAnsi" w:hAnsiTheme="minorHAnsi" w:cstheme="minorHAnsi"/>
          <w:color w:val="000000"/>
        </w:rPr>
        <w:t>committed to fulfilling all of the obligations, terms and conditions outlined above.</w:t>
      </w:r>
    </w:p>
    <w:p w:rsidR="00D071E0" w:rsidRDefault="00D071E0" w:rsidP="002A7744">
      <w:pPr>
        <w:pStyle w:val="c0"/>
        <w:spacing w:before="0" w:beforeAutospacing="0" w:after="0" w:afterAutospacing="0"/>
        <w:jc w:val="lowKashida"/>
        <w:rPr>
          <w:rStyle w:val="c1"/>
          <w:rFonts w:asciiTheme="minorHAnsi" w:hAnsiTheme="minorHAnsi" w:cstheme="minorHAnsi"/>
          <w:color w:val="000000"/>
        </w:rPr>
      </w:pPr>
    </w:p>
    <w:p w:rsidR="00D071E0" w:rsidRPr="00D071E0" w:rsidRDefault="00D071E0" w:rsidP="002A7744">
      <w:pPr>
        <w:pStyle w:val="c0"/>
        <w:spacing w:before="0" w:beforeAutospacing="0" w:after="0" w:afterAutospacing="0"/>
        <w:jc w:val="lowKashida"/>
        <w:rPr>
          <w:rFonts w:asciiTheme="minorHAnsi" w:hAnsiTheme="minorHAnsi" w:cstheme="minorHAnsi"/>
          <w:color w:val="000000"/>
        </w:rPr>
      </w:pPr>
      <w:r>
        <w:rPr>
          <w:rStyle w:val="c1"/>
          <w:rFonts w:asciiTheme="minorHAnsi" w:hAnsiTheme="minorHAnsi" w:cstheme="minorHAnsi"/>
          <w:color w:val="000000"/>
        </w:rPr>
        <w:t xml:space="preserve">Failure to comply and </w:t>
      </w:r>
      <w:r w:rsidRPr="00D071E0">
        <w:rPr>
          <w:rStyle w:val="c1"/>
          <w:rFonts w:asciiTheme="minorHAnsi" w:hAnsiTheme="minorHAnsi" w:cstheme="minorHAnsi"/>
          <w:color w:val="000000"/>
        </w:rPr>
        <w:t>fulfill any of the obligations outlined in this undertaking</w:t>
      </w:r>
      <w:r>
        <w:rPr>
          <w:rStyle w:val="c1"/>
          <w:rFonts w:asciiTheme="minorHAnsi" w:hAnsiTheme="minorHAnsi" w:cstheme="minorHAnsi"/>
          <w:color w:val="000000"/>
        </w:rPr>
        <w:t xml:space="preserve"> will immediately render the NOC (issued by Arenco Real Estate) null and void.</w:t>
      </w:r>
    </w:p>
    <w:p w:rsidR="00D071E0" w:rsidRDefault="00D071E0" w:rsidP="002A7744">
      <w:pPr>
        <w:pStyle w:val="c0"/>
        <w:spacing w:before="0" w:beforeAutospacing="0" w:after="0" w:afterAutospacing="0"/>
        <w:jc w:val="lowKashida"/>
        <w:rPr>
          <w:rStyle w:val="c1"/>
          <w:rFonts w:asciiTheme="minorHAnsi" w:hAnsiTheme="minorHAnsi" w:cstheme="minorHAnsi"/>
          <w:color w:val="000000"/>
        </w:rPr>
      </w:pPr>
    </w:p>
    <w:p w:rsidR="00D071E0" w:rsidRPr="00D071E0" w:rsidRDefault="00D071E0" w:rsidP="002A7744">
      <w:pPr>
        <w:pStyle w:val="c0"/>
        <w:spacing w:before="0" w:beforeAutospacing="0" w:after="0" w:afterAutospacing="0"/>
        <w:jc w:val="lowKashida"/>
        <w:rPr>
          <w:rFonts w:asciiTheme="minorHAnsi" w:hAnsiTheme="minorHAnsi" w:cstheme="minorHAnsi"/>
          <w:color w:val="000000"/>
        </w:rPr>
      </w:pPr>
      <w:r w:rsidRPr="00D071E0">
        <w:rPr>
          <w:rStyle w:val="c1"/>
          <w:rFonts w:asciiTheme="minorHAnsi" w:hAnsiTheme="minorHAnsi" w:cstheme="minorHAnsi"/>
          <w:color w:val="000000"/>
        </w:rPr>
        <w:t xml:space="preserve">This undertaking shall remain in effect until all of the obligations outlined above have been completed or until such time </w:t>
      </w:r>
      <w:r>
        <w:rPr>
          <w:rStyle w:val="c1"/>
          <w:rFonts w:asciiTheme="minorHAnsi" w:hAnsiTheme="minorHAnsi" w:cstheme="minorHAnsi"/>
          <w:color w:val="000000"/>
        </w:rPr>
        <w:t>the NOC is withdrawn or has expired</w:t>
      </w:r>
      <w:r w:rsidRPr="00D071E0">
        <w:rPr>
          <w:rStyle w:val="c1"/>
          <w:rFonts w:asciiTheme="minorHAnsi" w:hAnsiTheme="minorHAnsi" w:cstheme="minorHAnsi"/>
          <w:color w:val="000000"/>
        </w:rPr>
        <w:t>.</w:t>
      </w:r>
    </w:p>
    <w:p w:rsidR="00D071E0" w:rsidRDefault="00D071E0" w:rsidP="002A7744">
      <w:pPr>
        <w:spacing w:after="0" w:line="240" w:lineRule="auto"/>
        <w:jc w:val="lowKashida"/>
        <w:rPr>
          <w:rFonts w:cstheme="minorHAnsi"/>
          <w:sz w:val="24"/>
          <w:szCs w:val="24"/>
        </w:rPr>
      </w:pPr>
    </w:p>
    <w:p w:rsidR="002A7744" w:rsidRDefault="002A7744" w:rsidP="002A7744">
      <w:pPr>
        <w:spacing w:after="0" w:line="240" w:lineRule="auto"/>
        <w:jc w:val="lowKashida"/>
        <w:rPr>
          <w:rFonts w:cstheme="minorHAnsi"/>
          <w:sz w:val="24"/>
          <w:szCs w:val="24"/>
        </w:rPr>
      </w:pPr>
    </w:p>
    <w:p w:rsidR="002A7744" w:rsidRDefault="002A7744" w:rsidP="002A7744">
      <w:pPr>
        <w:spacing w:after="0" w:line="240" w:lineRule="auto"/>
        <w:jc w:val="lowKashi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and on behalf of </w:t>
      </w:r>
      <w:r w:rsidRPr="002A7744">
        <w:rPr>
          <w:rFonts w:cstheme="minorHAnsi"/>
          <w:b/>
          <w:bCs/>
          <w:sz w:val="24"/>
          <w:szCs w:val="24"/>
          <w:u w:val="single"/>
        </w:rPr>
        <w:t>ABC Broker</w:t>
      </w:r>
      <w:r>
        <w:rPr>
          <w:rFonts w:cstheme="minorHAnsi"/>
          <w:sz w:val="24"/>
          <w:szCs w:val="24"/>
        </w:rPr>
        <w:t>,</w:t>
      </w:r>
    </w:p>
    <w:p w:rsidR="002A7744" w:rsidRDefault="002A7744" w:rsidP="002A7744">
      <w:pPr>
        <w:spacing w:after="0" w:line="240" w:lineRule="auto"/>
        <w:jc w:val="lowKashida"/>
        <w:rPr>
          <w:rFonts w:cstheme="minorHAnsi"/>
          <w:sz w:val="24"/>
          <w:szCs w:val="24"/>
        </w:rPr>
      </w:pPr>
    </w:p>
    <w:p w:rsidR="002A7744" w:rsidRDefault="002A7744" w:rsidP="002A7744">
      <w:pPr>
        <w:spacing w:after="0" w:line="240" w:lineRule="auto"/>
        <w:jc w:val="lowKashida"/>
        <w:rPr>
          <w:rFonts w:cstheme="minorHAnsi"/>
          <w:sz w:val="24"/>
          <w:szCs w:val="24"/>
        </w:rPr>
      </w:pPr>
    </w:p>
    <w:p w:rsidR="002A7744" w:rsidRDefault="002A7744" w:rsidP="002A7744">
      <w:pPr>
        <w:spacing w:after="0" w:line="240" w:lineRule="auto"/>
        <w:jc w:val="lowKashida"/>
        <w:rPr>
          <w:rFonts w:cstheme="minorHAnsi"/>
          <w:sz w:val="24"/>
          <w:szCs w:val="24"/>
        </w:rPr>
      </w:pPr>
    </w:p>
    <w:p w:rsidR="002A7744" w:rsidRPr="002A7744" w:rsidRDefault="002A7744" w:rsidP="002A7744">
      <w:pPr>
        <w:spacing w:after="0" w:line="240" w:lineRule="auto"/>
        <w:jc w:val="lowKashida"/>
        <w:rPr>
          <w:rFonts w:cstheme="minorHAnsi"/>
          <w:b/>
          <w:bCs/>
          <w:sz w:val="24"/>
          <w:szCs w:val="24"/>
        </w:rPr>
      </w:pPr>
      <w:r w:rsidRPr="002A7744">
        <w:rPr>
          <w:rFonts w:cstheme="minorHAnsi"/>
          <w:b/>
          <w:bCs/>
          <w:sz w:val="24"/>
          <w:szCs w:val="24"/>
        </w:rPr>
        <w:t>Name</w:t>
      </w:r>
    </w:p>
    <w:p w:rsidR="002A7744" w:rsidRPr="00D071E0" w:rsidRDefault="002A7744" w:rsidP="002A7744">
      <w:pPr>
        <w:spacing w:after="0" w:line="240" w:lineRule="auto"/>
        <w:jc w:val="lowKashi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Authorized Signatory</w:t>
      </w:r>
    </w:p>
    <w:sectPr w:rsidR="002A7744" w:rsidRPr="00D07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247"/>
    <w:multiLevelType w:val="multilevel"/>
    <w:tmpl w:val="7D74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E0"/>
    <w:rsid w:val="002A7744"/>
    <w:rsid w:val="00371E67"/>
    <w:rsid w:val="00400E07"/>
    <w:rsid w:val="0076391A"/>
    <w:rsid w:val="009E737C"/>
    <w:rsid w:val="00C64801"/>
    <w:rsid w:val="00D071E0"/>
    <w:rsid w:val="00F66687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92C2A"/>
  <w15:chartTrackingRefBased/>
  <w15:docId w15:val="{B2ECB25F-9A6F-42D3-9B89-D3E10EC6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">
    <w:name w:val="c0"/>
    <w:basedOn w:val="Normal"/>
    <w:rsid w:val="00D0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DefaultParagraphFont"/>
    <w:rsid w:val="00D0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Maningo</dc:creator>
  <cp:keywords/>
  <dc:description/>
  <cp:lastModifiedBy>Carla Maningo</cp:lastModifiedBy>
  <cp:revision>7</cp:revision>
  <dcterms:created xsi:type="dcterms:W3CDTF">2024-06-05T07:55:00Z</dcterms:created>
  <dcterms:modified xsi:type="dcterms:W3CDTF">2024-11-11T05:41:00Z</dcterms:modified>
</cp:coreProperties>
</file>